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0"/>
          <w:sz w:val="36"/>
          <w:szCs w:val="36"/>
          <w:lang w:bidi="ar"/>
        </w:rPr>
        <w:t>“十佳编辑”</w:t>
      </w:r>
    </w:p>
    <w:tbl>
      <w:tblPr>
        <w:tblStyle w:val="2"/>
        <w:tblW w:w="8496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266"/>
        <w:gridCol w:w="35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姓  名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期刊名称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闫杏丽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合肥工业大学学报（自然科学版）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贺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中国科学技术大学学报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彭京亚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中国临床药理学与治疗学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李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等离子体科学和技术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（英文版）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孔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中国药理学通报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张宝成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现代中药研究与实践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王晓梅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量子电子学报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王世宏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保健与生活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张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安徽中医药大学学报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刘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蚌埠医学院学报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kMjdhNWJhODlmMDdhNmQ4NzBlNjEwZTc4NmZkODUifQ=="/>
  </w:docVars>
  <w:rsids>
    <w:rsidRoot w:val="5A795FE5"/>
    <w:rsid w:val="5A79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2023-11-13T03:21:00Z</dcterms:created>
  <dc:creator>熊猫同学 </dc:creator>
  <cp:lastModifiedBy>熊猫同学 </cp:lastModifiedBy>
  <dcterms:modified xsi:type="dcterms:W3CDTF">2023-11-13T03:21:28Z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38992C1F91D54FF0ABFCFAFAF59EBE42_11</vt:lpwstr>
  </property>
</Properties>
</file>