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cs="Times New Roman"/>
          <w:sz w:val="32"/>
          <w:szCs w:val="32"/>
        </w:rPr>
        <w:t>：</w:t>
      </w:r>
    </w:p>
    <w:p>
      <w:pPr>
        <w:jc w:val="center"/>
        <w:rPr>
          <w:rFonts w:ascii="方正小标宋简体" w:hAnsi="Times New Roman" w:eastAsia="方正小标宋简体" w:cs="Times New Roman"/>
          <w:b/>
          <w:sz w:val="36"/>
        </w:rPr>
      </w:pPr>
      <w:r>
        <w:rPr>
          <w:rFonts w:hint="eastAsia" w:ascii="方正小标宋简体" w:eastAsia="方正小标宋简体" w:cs="Times New Roman"/>
          <w:b/>
          <w:sz w:val="36"/>
        </w:rPr>
        <w:t>比选评分表</w:t>
      </w:r>
    </w:p>
    <w:tbl>
      <w:tblPr>
        <w:tblStyle w:val="3"/>
        <w:tblW w:w="1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2730"/>
        <w:gridCol w:w="2742"/>
        <w:gridCol w:w="2730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0" w:type="dxa"/>
            <w:gridSpan w:val="5"/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b/>
                <w:sz w:val="28"/>
                <w:szCs w:val="28"/>
              </w:rPr>
              <w:t>比选评审内容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7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比选申请人实力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（10分）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类似服务经验或成功案例、以前供应服务绩效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（20分）</w:t>
            </w:r>
          </w:p>
        </w:tc>
        <w:tc>
          <w:tcPr>
            <w:tcW w:w="27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提供服务实施方案与比选公告中要求的购买需求满足度（30分）</w:t>
            </w:r>
          </w:p>
        </w:tc>
        <w:tc>
          <w:tcPr>
            <w:tcW w:w="273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提供服务组织保障和可行性（20分）</w:t>
            </w:r>
          </w:p>
        </w:tc>
        <w:tc>
          <w:tcPr>
            <w:tcW w:w="273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比选报价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（20分）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274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比选申请人属于《四川省2018年度会计师事务所综合评级情况》中AAA级会计师事务所得10分，AA级会计师事务所得7分，A级会计师事务所得5分。未列入《四川省2018年度会计师事务所综合评级情况》中的得0分。</w:t>
            </w:r>
          </w:p>
        </w:tc>
        <w:tc>
          <w:tcPr>
            <w:tcW w:w="27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自2016年起，比选申请人每有一个国有企业领导人任期经济责任审计服务业绩得4分，本项最高得20分。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74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25-30分：实施方案安排合理，能实现预期目标，完全符合比选公告中提出的要求；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15-25分：实施方案比较合理，基本实现预期目标，基本符合比选公告中提出的要求；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10-15分：实施方案安排存在不合理的情况，预期效果较差，不完全符合比选公告中提出的要求；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＜10分：实施方案安排不合理，比选方案预期效果较差，多方面不符合比选公告中提出的要求。</w:t>
            </w:r>
          </w:p>
        </w:tc>
        <w:tc>
          <w:tcPr>
            <w:tcW w:w="273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1、比选申请为本项目配备注册会计师1名得5分，配备助理人员1名得3分，本项最多得1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分；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2、比选申请人机构所在地在成都市的得4分。</w:t>
            </w:r>
          </w:p>
        </w:tc>
        <w:tc>
          <w:tcPr>
            <w:tcW w:w="2738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报价分项得分=参选申请人中最低报价/该申请人实际报价*20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4BC"/>
    <w:rsid w:val="002E5AE1"/>
    <w:rsid w:val="003104BC"/>
    <w:rsid w:val="00357A7C"/>
    <w:rsid w:val="5C033547"/>
    <w:rsid w:val="787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315</Words>
  <Characters>1800</Characters>
  <Lines>15</Lines>
  <Paragraphs>4</Paragraphs>
  <TotalTime>0</TotalTime>
  <ScaleCrop>false</ScaleCrop>
  <LinksUpToDate>false</LinksUpToDate>
  <CharactersWithSpaces>2111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2019-09-11T10:10:00Z</dcterms:created>
  <dc:creator>郑君君</dc:creator>
  <cp:lastModifiedBy>杨均</cp:lastModifiedBy>
  <dcterms:modified xsi:type="dcterms:W3CDTF">2019-09-12T01:58:03Z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