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tbl>
      <w:tblPr>
        <w:tblStyle w:val="5"/>
        <w:tblW w:w="99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6"/>
        <w:gridCol w:w="9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9906"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方正公文小标宋" w:hAnsi="方正公文小标宋" w:eastAsia="方正公文小标宋" w:cs="方正公文小标宋"/>
                <w:sz w:val="44"/>
                <w:szCs w:val="44"/>
              </w:rPr>
            </w:pPr>
            <w:r>
              <w:rPr>
                <w:rFonts w:hint="eastAsia" w:ascii="方正小标宋简体" w:hAnsi="方正小标宋简体" w:eastAsia="方正小标宋简体" w:cs="方正小标宋简体"/>
                <w:b w:val="0"/>
                <w:bCs w:val="0"/>
                <w:sz w:val="44"/>
                <w:szCs w:val="44"/>
              </w:rPr>
              <w:t>新时代全国金融系统党建百优案例名单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default"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山东银保监局以机关党建高质量发展促进监管能力提升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广东银保监局“一帮一、结对红”打造“五联共建”党建新模式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证监会投资者保护局以“六抓”促“六新” 切实维护中小投资者合法权益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四川证监局：加强支部党建 打造战斗堡垒 促进辖区资本市场持续健康稳定发展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中投公司以高质量党建推动高质量发展的经验做法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中投公司机关党委夯实“三年行动计划” 打造中管金融企业标准化规范化模范支部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中投公司办公室/党办/董办党支部以高质量支部建设引领发挥枢纽作用 服务主权财富基金健康发展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Style w:val="9"/>
                <w:rFonts w:hint="eastAsia" w:ascii="仿宋" w:hAnsi="仿宋" w:eastAsia="仿宋" w:cs="仿宋"/>
                <w:sz w:val="28"/>
                <w:szCs w:val="28"/>
                <w:lang w:val="en-US" w:eastAsia="zh-CN" w:bidi="ar"/>
              </w:rPr>
              <w:t>国家开发银行</w:t>
            </w:r>
            <w:r>
              <w:rPr>
                <w:rFonts w:hint="eastAsia" w:ascii="仿宋" w:hAnsi="仿宋" w:eastAsia="仿宋" w:cs="仿宋"/>
                <w:i w:val="0"/>
                <w:iCs w:val="0"/>
                <w:color w:val="000000"/>
                <w:kern w:val="0"/>
                <w:sz w:val="28"/>
                <w:szCs w:val="28"/>
                <w:u w:val="none"/>
                <w:lang w:val="en-US" w:eastAsia="zh-CN" w:bidi="ar"/>
              </w:rPr>
              <w:t>党委办公室</w:t>
            </w:r>
            <w:r>
              <w:rPr>
                <w:rStyle w:val="9"/>
                <w:rFonts w:hint="eastAsia" w:ascii="仿宋" w:hAnsi="仿宋" w:eastAsia="仿宋" w:cs="仿宋"/>
                <w:sz w:val="28"/>
                <w:szCs w:val="28"/>
                <w:lang w:val="en-US" w:eastAsia="zh-CN" w:bidi="ar"/>
              </w:rPr>
              <w:t>统筹抓好“三个台账” 忠诚践行“两个维护”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国家开发银行政策研究室（党委宣传部）建立“四个一”理论武装工作体系 推动理论学习走深走实走心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国家开发银行资金部提升机关党的建设质量推动党建与业务深度融合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国家开发银行西藏自治区分行发挥统一战线引领作用 凝聚治边稳藏磅礴合力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中国进出口银行董事会办公室“六建六强”工作法在支部建设中的重要作用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中国进出口银行公司客户部党总支坚持“三、三”工作法 以党建引领新时代政策性金融业务高质量发展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中国农业发展银行办公室充分发挥“六心”工作法在推动党建和业务工作融合发展中的固本增效作用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中国工商银行企业文化部党总支坚持“五抓五化提五力”工作法 以党建引领助发展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中国工商银行直属机关党委党支部坚持“四个三”工作法 推动意识形态建设取得实效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中国工商银行董事会办公室践行“五个贯通融合”，助推党的领导与公司治理有机融合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中国工商银行福建省分行“拓基地”“深研发”创新打造党校教育阵地平台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中国农业银行大客户部充分发挥党建品牌创建在业务发展中的重要作用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中国农业银行资产负债管理部第三党支部以高质量党建保障党的金融方针政策在农行落地生根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中国农业银行研发中心以中台思维推进基层党建数字化、智慧化转型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中国农业银行新县支行传承红色基因助推老区振兴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中国银行直属机关实施量化精准考核 把党建“硬任务”“硬要求”转化成“硬指标”“硬约束”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中国银行北京市分行以流程化、标准化为切入点提高机关党建规范化水平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中国银行福建省分行坚持以标准立规范、以先进铸纯洁，推动创建模范机关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中国建设银行运营数据中心以“四个五”为抓手 全方位开创党建工作新局面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中国建设银行新疆区分行创新“七大载体” 打造融合式特色主题党日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建信金融资产投资有限公司创新党建工作机制 将党支部标准化规范化建设落到实处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交通银行上海市分行新时代银行业高质量党建引领高质量发展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中信泰富特钢以“四个强化”提升党建质量 引领企业高质量发展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光大集团总部机关党委围绕“强总部”战略推进机关党的建设高质量发展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透视光大金控西部超导经典案例的党建引领作用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光大银行北京分行固根铸魂立体党建打造新发展格局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人保财险宁波慈溪中心支公司党总支：“三领、三融、三变” 党建促发展创新模式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太平人寿青岛分公司以“五融”为抓手推动从严治党落地生效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太平人寿新疆分公司：传统变共享 讲好“微党课”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太平财险天津分公司深化党建引领 擘画高质量发展蓝图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中国信保计划财务部党支部以“三抓”促“三化”推动党建工作与业务工作融合发展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中国信保浙江分公司党委 “六同步”工作法推进党建与业务深度融合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中国华融坚持“党建+团建”工作模式，让红色党旗凝聚青春力量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长城资产在决战决胜脱贫攻坚战中贡献党建力量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中国东方人力资源部通过党建品牌建设全面提高党建工作质效、保障企业转型发展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中国信达湖北分公司建立“党委-支部-党员”联动机制，实现队伍整体前进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中央结算公司研发中心以党建引领智库建设不断取得突破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银河金控强班子 夯基础 以抓“两头”推动转型发展取得新突破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中国银河证券党建工作部党支部打造党建铁军助力公司发展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招商银行构建“四梁八柱”党建工作体系促进党建与业务深度融合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中国民生银行信用卡中心多措并举抓好基层党建工作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中国邮政储蓄银行江西省分行从战略视角出发探索国企党建“升级”版路径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中国邮政储蓄银行北京分行在新时代背景下基于“4P”模式加强党的宣传思想工作的思考与探索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阳光保险集团扭住五个着力点推动企业党建高质量发展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中国证券业协会加强党建引领推动行业履行社会责任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兴业证券：以“12345”工作法构建兴证党建新格局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国海证券以“双品党建”打造推动混合所有制企业高质量发展的“红色引擎”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浦发银行充分发挥巡察工作在全面从严治党中的重要作用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浦发银行上海分行充分发挥“四双工程”在高质量发展中的党建引领作用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浙江农信探索实践“党建+金融”争创社会主义现代化先行省的金融标兵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诸暨农商银行激扬“党建+金融”活水  浇灌“新时代文明实践”之花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潍坊农商银行夯实基层基础发挥党建引领作用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上海银行党委融合全局工作深学实做 推动四史学习提振四力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上海农商银行普惠金融部党支部充分发挥党建引领作用，践行普惠金融赋能社会治理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江苏银行坚持“五统一”持续开展党员进社区活动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国泰君安证券以“融·党建”工作模式 引领建设现代一流投资银行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上海期货交易所建立不忘初心、牢记使命长效机制 推动基层党建全面进步、全面过硬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中国金融期货交易所第二十一（办公室）党支部关于以“七个一体、两个带动”建强战斗堡垒、发挥中枢作用的报告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郑州商品交易所巡检考核结合推动基层党建工作上台阶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南京证券党委坚持“五个融合”以高质量党建引领高质量发展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华融金融租赁打造清风系列精品 构建风清气正政治生态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信达投资充分发挥党建经营深度融合效应 推动健康持续稳定发展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天津银行构建党建与经营发展深度融合新模式 执改革创新之笔绘就高质量发展新篇章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天津农商银行开展党支部驻点指导提高标准化规范化水平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河北银行石家庄分行党建融入经营管理成为高质量发展新动能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中共晋商银行机关委员会发挥委员作用提升机关党建工作质量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南京银行深化“鑫先锋”党建品牌培育，持续打造基层党建工作新格局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杭州银行推进全面从严治党从严治行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广州银行打造“广融出新彩”党建品牌 积极探索特色强企之路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成都农商银行高新支行创建党建品牌 服务城市发展的具体实践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西安银行坚持党的全面领导深度融合推动高质量发展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青海银行突出“五个强化”促进深度融合 以高质量党建引领经营工作高质量发展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邯郸银行党建与业务深度融合的创新实践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锦州银行沈阳分行党建领航，打造有温度的雷锋银行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江苏紫金农村商业银行乡村振兴战略下的党建工作新探索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嘉兴银行总行营业部党支部创新打造“红·五心”党建品牌，提升基层党的建设水平、赋能经营发展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绍兴银行落实“四抓四化”推进党建与业务融合发展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潍坊银行“三个三”促进党建与业务相融共进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泰安银行叫响“泰山清泉 滋润万家”责任党建品牌 引领企业高质量发展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平顶山银行坚持党建引领发挥“六个聚焦” 形成发展合力构筑坚强堡垒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广东华兴银行：用“四个党建融合”引领发展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绵阳市商业银行坚持党建引领为改革发展保驾护航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贵阳农商银行党委“654321”工作机制推动基层党支部工作高质量发展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乐清农商银行“红色标杆”打造“标杆农商”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弘业期货开展党建引领“345”工程，开创公司发展新局面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莱芜农商银行党建引领“六大变革” 激发改革发展内生动力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邳州农商银行传承红色基因 助力普惠金融发展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成都金控数据服务有限公司：以“四个引领”推动高质量发展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华鑫证券异地党建工作的探索与实践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安吉农商银行充分发挥党建工作在高质量发展中的统领作用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云南信托打好“党建+”组合拳，推动党建工作效能最大化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i w:val="0"/>
                <w:iCs w:val="0"/>
                <w:color w:val="000000"/>
                <w:kern w:val="0"/>
                <w:sz w:val="28"/>
                <w:szCs w:val="28"/>
                <w:u w:val="none"/>
                <w:lang w:val="en-US" w:eastAsia="zh-CN" w:bidi="ar"/>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唐山银行以常态化主题教育助力企业高质量发展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6" w:type="dxa"/>
            <w:tcBorders>
              <w:tl2br w:val="nil"/>
              <w:tr2bl w:val="nil"/>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left="0" w:leftChars="0" w:firstLine="0" w:firstLineChars="0"/>
              <w:jc w:val="both"/>
              <w:textAlignment w:val="center"/>
              <w:rPr>
                <w:rFonts w:hint="eastAsia" w:ascii="仿宋" w:hAnsi="仿宋" w:eastAsia="仿宋" w:cs="仿宋"/>
                <w:sz w:val="28"/>
                <w:szCs w:val="28"/>
                <w:vertAlign w:val="baseline"/>
              </w:rPr>
            </w:pPr>
          </w:p>
        </w:tc>
        <w:tc>
          <w:tcPr>
            <w:tcW w:w="938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新疆天山农商银行围绕“战略”抓党建 加速“转型”增效益</w:t>
            </w:r>
          </w:p>
        </w:tc>
      </w:tr>
    </w:tbl>
    <w:p>
      <w:pPr>
        <w:rPr>
          <w:rFonts w:hint="eastAsia"/>
          <w:lang w:val="en-US" w:eastAsia="zh-CN"/>
        </w:rPr>
      </w:pPr>
    </w:p>
    <w:p/>
    <w:p/>
    <w:p/>
    <w:p/>
    <w:p/>
    <w:p/>
    <w:p/>
    <w:p/>
    <w:p/>
    <w:p/>
    <w:p/>
    <w:p/>
    <w:p/>
    <w:p/>
    <w:p/>
    <w:p/>
    <w:p/>
    <w:p/>
    <w:p/>
    <w:p/>
    <w:sectPr>
      <w:pgSz w:w="11906" w:h="16838"/>
      <w:pgMar w:top="1134" w:right="1134" w:bottom="1134" w:left="1134" w:header="851" w:footer="992" w:gutter="0"/>
      <w:pgBorders>
        <w:top w:val="none" w:sz="0" w:space="0"/>
        <w:left w:val="none" w:sz="0" w:space="0"/>
        <w:bottom w:val="none" w:sz="0" w:space="0"/>
        <w:right w:val="none" w:sz="0" w:space="0"/>
      </w:pgBorders>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公文小标宋">
    <w:altName w:val="宋体"/>
    <w:panose1 w:val="020005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7B467"/>
    <w:multiLevelType w:val="singleLevel"/>
    <w:tmpl w:val="29D7B467"/>
    <w:lvl w:ilvl="0" w:tentative="0">
      <w:start w:val="1"/>
      <w:numFmt w:val="decimal"/>
      <w:lvlText w:val="%1."/>
      <w:lvlJc w:val="left"/>
      <w:pPr>
        <w:ind w:left="425" w:hanging="425"/>
      </w:pPr>
      <w:rPr>
        <w:rFonts w:hint="default"/>
        <w:w w:val="9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0479D"/>
    <w:rsid w:val="00312538"/>
    <w:rsid w:val="052D5925"/>
    <w:rsid w:val="09114215"/>
    <w:rsid w:val="09B4392F"/>
    <w:rsid w:val="11555B84"/>
    <w:rsid w:val="19611BD9"/>
    <w:rsid w:val="1B085C6C"/>
    <w:rsid w:val="1B3955C7"/>
    <w:rsid w:val="1E70479D"/>
    <w:rsid w:val="22F54529"/>
    <w:rsid w:val="2AC16EF8"/>
    <w:rsid w:val="31404B0F"/>
    <w:rsid w:val="34CC2CF0"/>
    <w:rsid w:val="368F4B78"/>
    <w:rsid w:val="373D1587"/>
    <w:rsid w:val="3B1B49F9"/>
    <w:rsid w:val="40627AC7"/>
    <w:rsid w:val="4A5658E6"/>
    <w:rsid w:val="501937D1"/>
    <w:rsid w:val="53AD745B"/>
    <w:rsid w:val="55BD3BD4"/>
    <w:rsid w:val="59772DFE"/>
    <w:rsid w:val="59F57D0C"/>
    <w:rsid w:val="5F5F0874"/>
    <w:rsid w:val="628D6B0D"/>
    <w:rsid w:val="6A9C50A2"/>
    <w:rsid w:val="6C7D5C71"/>
    <w:rsid w:val="6CE51FDA"/>
    <w:rsid w:val="6D0817DC"/>
    <w:rsid w:val="6D5F7599"/>
    <w:rsid w:val="70C970F5"/>
    <w:rsid w:val="71B9415D"/>
    <w:rsid w:val="73D93B1B"/>
    <w:rsid w:val="752D042C"/>
    <w:rsid w:val="75C86C03"/>
    <w:rsid w:val="7B07798A"/>
    <w:rsid w:val="7B677C71"/>
    <w:rsid w:val="7CA11847"/>
    <w:rsid w:val="7DEF36D9"/>
    <w:rsid w:val="7F9076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微软雅黑" w:hAnsi="微软雅黑" w:eastAsia="微软雅黑" w:cs="微软雅黑"/>
      <w:color w:val="000000"/>
      <w:sz w:val="24"/>
      <w:szCs w:val="24"/>
      <w:u w:val="none"/>
    </w:rPr>
  </w:style>
  <w:style w:type="character" w:customStyle="1" w:styleId="8">
    <w:name w:val="font31"/>
    <w:basedOn w:val="6"/>
    <w:qFormat/>
    <w:uiPriority w:val="0"/>
    <w:rPr>
      <w:rFonts w:hint="eastAsia" w:ascii="微软雅黑" w:hAnsi="微软雅黑" w:eastAsia="微软雅黑" w:cs="微软雅黑"/>
      <w:color w:val="000000"/>
      <w:sz w:val="24"/>
      <w:szCs w:val="24"/>
      <w:u w:val="none"/>
    </w:rPr>
  </w:style>
  <w:style w:type="character" w:customStyle="1" w:styleId="9">
    <w:name w:val="font11"/>
    <w:basedOn w:val="6"/>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2944</Words>
  <Characters>2956</Characters>
  <Lines>0</Lines>
  <Paragraphs>0</Paragraphs>
  <TotalTime>28</TotalTime>
  <ScaleCrop>false</ScaleCrop>
  <LinksUpToDate>false</LinksUpToDate>
  <CharactersWithSpaces>2995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2021-06-04T06:31:00Z</dcterms:created>
  <dc:creator>Miss.why</dc:creator>
  <cp:lastModifiedBy>Miss.why</cp:lastModifiedBy>
  <cp:lastPrinted>2021-06-04T07:52:00Z</cp:lastPrinted>
  <dcterms:modified xsi:type="dcterms:W3CDTF">2021-07-01T02:30:17Z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BC26F026CDD247BE937AA550BBDF33B6</vt:lpwstr>
  </property>
</Properties>
</file>